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5F4C" w14:textId="0DDA1B52" w:rsidR="00782E9F" w:rsidRDefault="00782E9F" w:rsidP="00AA413E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[2rAB 9/16/25]</w:t>
      </w:r>
      <w:r w:rsidR="00B11B7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</w:p>
    <w:p w14:paraId="720E0FD1" w14:textId="1515CCD2" w:rsidR="00EF158F" w:rsidRPr="00B11B74" w:rsidRDefault="00B11B74" w:rsidP="00AA413E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6A2593" w:rsidRPr="00B11B74">
        <w:rPr>
          <w:rFonts w:ascii="Times New Roman" w:eastAsia="Times New Roman" w:hAnsi="Times New Roman" w:cs="Times New Roman"/>
          <w:b/>
          <w:bCs/>
          <w:sz w:val="21"/>
          <w:szCs w:val="21"/>
        </w:rPr>
        <w:t>Based on TO 4402 and 4349 (sidebar)</w:t>
      </w:r>
      <w:r w:rsidR="00CC5BAB" w:rsidRPr="00B11B7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</w:p>
    <w:p w14:paraId="1EF12AED" w14:textId="77777777" w:rsidR="004052F0" w:rsidRDefault="004052F0" w:rsidP="00AA413E">
      <w:pPr>
        <w:pStyle w:val="NormalWeb"/>
        <w:spacing w:before="0" w:beforeAutospacing="0" w:after="200" w:afterAutospacing="0"/>
        <w:rPr>
          <w:b/>
          <w:bCs/>
        </w:rPr>
      </w:pPr>
    </w:p>
    <w:p w14:paraId="0338E8EE" w14:textId="05E4670A" w:rsidR="00317B8E" w:rsidRDefault="003E0D4C" w:rsidP="00AA413E">
      <w:pPr>
        <w:pStyle w:val="NormalWeb"/>
        <w:spacing w:before="0" w:beforeAutospacing="0" w:after="200" w:afterAutospacing="0"/>
      </w:pPr>
      <w:r w:rsidRPr="0068024D">
        <w:rPr>
          <w:b/>
          <w:bCs/>
        </w:rPr>
        <w:t xml:space="preserve">Abstract: </w:t>
      </w:r>
      <w:r w:rsidR="00E7513C" w:rsidRPr="0068024D">
        <w:t>T</w:t>
      </w:r>
      <w:r w:rsidR="00317B8E" w:rsidRPr="0068024D">
        <w:t xml:space="preserve">he One </w:t>
      </w:r>
      <w:r w:rsidR="00317B8E">
        <w:t>Big Beautiful Bill Act (OBBBA)</w:t>
      </w:r>
      <w:r w:rsidR="00E7513C">
        <w:t xml:space="preserve"> </w:t>
      </w:r>
      <w:r w:rsidR="00FB139A">
        <w:t xml:space="preserve">has permanently restored </w:t>
      </w:r>
      <w:r w:rsidR="00317B8E" w:rsidRPr="0068024D">
        <w:rPr>
          <w:rStyle w:val="Strong"/>
          <w:b w:val="0"/>
          <w:bCs w:val="0"/>
        </w:rPr>
        <w:t>100% first-year bonus depreciation</w:t>
      </w:r>
      <w:r w:rsidR="00317B8E">
        <w:t xml:space="preserve">, </w:t>
      </w:r>
      <w:r w:rsidR="00FB139A">
        <w:t xml:space="preserve">offering business owners </w:t>
      </w:r>
      <w:r w:rsidR="00782E9F">
        <w:t xml:space="preserve">a </w:t>
      </w:r>
      <w:r w:rsidR="00F27CD1">
        <w:t xml:space="preserve">powerful way to maximize their tax savings for 2025 and beyond. </w:t>
      </w:r>
      <w:r w:rsidR="00637DD7">
        <w:t>Under prior law</w:t>
      </w:r>
      <w:r w:rsidR="002A604C">
        <w:t>,</w:t>
      </w:r>
      <w:r w:rsidR="00637DD7">
        <w:t xml:space="preserve"> this tax break was phasing out</w:t>
      </w:r>
      <w:r w:rsidR="0047154B">
        <w:t xml:space="preserve"> and scheduled to vanish in 2027</w:t>
      </w:r>
      <w:r w:rsidR="00317B8E">
        <w:t>.</w:t>
      </w:r>
      <w:r w:rsidR="00DA7003">
        <w:t xml:space="preserve"> This article provides details. And a sidebar gives a brief look at </w:t>
      </w:r>
      <w:r w:rsidR="00931924">
        <w:t xml:space="preserve">one </w:t>
      </w:r>
      <w:r w:rsidR="00AC1EF7">
        <w:t xml:space="preserve">retirement plan </w:t>
      </w:r>
      <w:r w:rsidR="00931924">
        <w:t xml:space="preserve">option business owners can use to save taxes for the business, for themselves and their </w:t>
      </w:r>
      <w:r w:rsidR="00AC1EF7">
        <w:t xml:space="preserve">employees.  </w:t>
      </w:r>
    </w:p>
    <w:p w14:paraId="7356A622" w14:textId="586C0920" w:rsidR="00C02A37" w:rsidRPr="0044450E" w:rsidRDefault="00BB61B1" w:rsidP="00AA413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44450E">
        <w:rPr>
          <w:rFonts w:ascii="Times New Roman" w:hAnsi="Times New Roman" w:cs="Times New Roman"/>
          <w:b/>
          <w:bCs/>
          <w:sz w:val="28"/>
          <w:szCs w:val="28"/>
        </w:rPr>
        <w:t>Restored</w:t>
      </w:r>
      <w:r w:rsidR="00B178BF">
        <w:rPr>
          <w:rFonts w:ascii="Times New Roman" w:hAnsi="Times New Roman" w:cs="Times New Roman"/>
          <w:b/>
          <w:bCs/>
          <w:sz w:val="28"/>
          <w:szCs w:val="28"/>
        </w:rPr>
        <w:t xml:space="preserve"> 100% bonus</w:t>
      </w:r>
      <w:r w:rsidRPr="004445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3B4B" w:rsidRPr="0044450E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227AB5" w:rsidRPr="0044450E">
        <w:rPr>
          <w:rFonts w:ascii="Times New Roman" w:hAnsi="Times New Roman" w:cs="Times New Roman"/>
          <w:b/>
          <w:bCs/>
          <w:sz w:val="28"/>
          <w:szCs w:val="28"/>
        </w:rPr>
        <w:t>epreciation</w:t>
      </w:r>
      <w:r w:rsidR="00583385">
        <w:rPr>
          <w:rFonts w:ascii="Times New Roman" w:hAnsi="Times New Roman" w:cs="Times New Roman"/>
          <w:b/>
          <w:bCs/>
          <w:sz w:val="28"/>
          <w:szCs w:val="28"/>
        </w:rPr>
        <w:t>: a valuable ye</w:t>
      </w:r>
      <w:r w:rsidR="00A65DAD">
        <w:rPr>
          <w:rFonts w:ascii="Times New Roman" w:hAnsi="Times New Roman" w:cs="Times New Roman"/>
          <w:b/>
          <w:bCs/>
          <w:sz w:val="28"/>
          <w:szCs w:val="28"/>
        </w:rPr>
        <w:t>ar-end tax planning tool</w:t>
      </w:r>
      <w:r w:rsidR="00906A3F" w:rsidRPr="004445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50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</w:p>
    <w:p w14:paraId="418176ED" w14:textId="751F475E" w:rsidR="00A800C9" w:rsidRPr="007A3F65" w:rsidRDefault="000E4293" w:rsidP="00AA413E">
      <w:pPr>
        <w:spacing w:after="200" w:line="240" w:lineRule="auto"/>
        <w:rPr>
          <w:rFonts w:ascii="Times New Roman" w:hAnsi="Times New Roman" w:cs="Times New Roman"/>
        </w:rPr>
      </w:pPr>
      <w:r w:rsidRPr="007A3F65">
        <w:rPr>
          <w:rFonts w:ascii="Times New Roman" w:hAnsi="Times New Roman" w:cs="Times New Roman"/>
        </w:rPr>
        <w:t xml:space="preserve">As </w:t>
      </w:r>
      <w:r w:rsidR="00576123" w:rsidRPr="007A3F65">
        <w:rPr>
          <w:rFonts w:ascii="Times New Roman" w:hAnsi="Times New Roman" w:cs="Times New Roman"/>
        </w:rPr>
        <w:t>this year comes to a close, b</w:t>
      </w:r>
      <w:r w:rsidR="00230A1F" w:rsidRPr="007A3F65">
        <w:rPr>
          <w:rFonts w:ascii="Times New Roman" w:hAnsi="Times New Roman" w:cs="Times New Roman"/>
        </w:rPr>
        <w:t>usiness</w:t>
      </w:r>
      <w:r w:rsidR="007303E0" w:rsidRPr="007A3F65">
        <w:rPr>
          <w:rFonts w:ascii="Times New Roman" w:hAnsi="Times New Roman" w:cs="Times New Roman"/>
        </w:rPr>
        <w:t xml:space="preserve"> owners</w:t>
      </w:r>
      <w:r w:rsidR="00576123" w:rsidRPr="007A3F65">
        <w:rPr>
          <w:rFonts w:ascii="Times New Roman" w:hAnsi="Times New Roman" w:cs="Times New Roman"/>
        </w:rPr>
        <w:t xml:space="preserve"> </w:t>
      </w:r>
      <w:r w:rsidR="007303E0" w:rsidRPr="007A3F65">
        <w:rPr>
          <w:rFonts w:ascii="Times New Roman" w:hAnsi="Times New Roman" w:cs="Times New Roman"/>
        </w:rPr>
        <w:t>seeking to</w:t>
      </w:r>
      <w:r w:rsidR="00230A1F" w:rsidRPr="007A3F65">
        <w:rPr>
          <w:rFonts w:ascii="Times New Roman" w:hAnsi="Times New Roman" w:cs="Times New Roman"/>
        </w:rPr>
        <w:t xml:space="preserve"> </w:t>
      </w:r>
      <w:r w:rsidR="00B178BF">
        <w:rPr>
          <w:rFonts w:ascii="Times New Roman" w:hAnsi="Times New Roman" w:cs="Times New Roman"/>
        </w:rPr>
        <w:t>reduce</w:t>
      </w:r>
      <w:r w:rsidR="00B178BF" w:rsidRPr="007A3F65">
        <w:rPr>
          <w:rFonts w:ascii="Times New Roman" w:hAnsi="Times New Roman" w:cs="Times New Roman"/>
        </w:rPr>
        <w:t xml:space="preserve"> </w:t>
      </w:r>
      <w:r w:rsidR="00230A1F" w:rsidRPr="007A3F65">
        <w:rPr>
          <w:rFonts w:ascii="Times New Roman" w:hAnsi="Times New Roman" w:cs="Times New Roman"/>
        </w:rPr>
        <w:t>their tax</w:t>
      </w:r>
      <w:r w:rsidR="00B178BF">
        <w:rPr>
          <w:rFonts w:ascii="Times New Roman" w:hAnsi="Times New Roman" w:cs="Times New Roman"/>
        </w:rPr>
        <w:t>es</w:t>
      </w:r>
      <w:r w:rsidR="00230A1F" w:rsidRPr="007A3F65">
        <w:rPr>
          <w:rFonts w:ascii="Times New Roman" w:hAnsi="Times New Roman" w:cs="Times New Roman"/>
        </w:rPr>
        <w:t xml:space="preserve"> for 2025 </w:t>
      </w:r>
      <w:r w:rsidR="00233963" w:rsidRPr="007A3F65">
        <w:rPr>
          <w:rFonts w:ascii="Times New Roman" w:hAnsi="Times New Roman" w:cs="Times New Roman"/>
        </w:rPr>
        <w:t>have more op</w:t>
      </w:r>
      <w:r w:rsidR="00A800C9" w:rsidRPr="007A3F65">
        <w:rPr>
          <w:rFonts w:ascii="Times New Roman" w:hAnsi="Times New Roman" w:cs="Times New Roman"/>
        </w:rPr>
        <w:t>portunities</w:t>
      </w:r>
      <w:r w:rsidR="00AA413E">
        <w:rPr>
          <w:rFonts w:ascii="Times New Roman" w:hAnsi="Times New Roman" w:cs="Times New Roman"/>
        </w:rPr>
        <w:t xml:space="preserve"> to do so under</w:t>
      </w:r>
      <w:r w:rsidR="00233963" w:rsidRPr="007A3F65">
        <w:rPr>
          <w:rFonts w:ascii="Times New Roman" w:hAnsi="Times New Roman" w:cs="Times New Roman"/>
        </w:rPr>
        <w:t xml:space="preserve"> the One Big Beautiful Bill Act (OBBBA). </w:t>
      </w:r>
      <w:r w:rsidR="00A65DAD">
        <w:rPr>
          <w:rFonts w:ascii="Times New Roman" w:hAnsi="Times New Roman" w:cs="Times New Roman"/>
        </w:rPr>
        <w:t>One such</w:t>
      </w:r>
      <w:r w:rsidR="00D43533" w:rsidRPr="007A3F65">
        <w:rPr>
          <w:rFonts w:ascii="Times New Roman" w:hAnsi="Times New Roman" w:cs="Times New Roman"/>
        </w:rPr>
        <w:t xml:space="preserve"> opportunit</w:t>
      </w:r>
      <w:r w:rsidR="00A65DAD">
        <w:rPr>
          <w:rFonts w:ascii="Times New Roman" w:hAnsi="Times New Roman" w:cs="Times New Roman"/>
        </w:rPr>
        <w:t>y</w:t>
      </w:r>
      <w:r w:rsidR="00D43533" w:rsidRPr="007A3F65">
        <w:rPr>
          <w:rFonts w:ascii="Times New Roman" w:hAnsi="Times New Roman" w:cs="Times New Roman"/>
        </w:rPr>
        <w:t xml:space="preserve"> </w:t>
      </w:r>
      <w:r w:rsidR="008003A8" w:rsidRPr="007A3F65">
        <w:rPr>
          <w:rFonts w:ascii="Times New Roman" w:hAnsi="Times New Roman" w:cs="Times New Roman"/>
        </w:rPr>
        <w:t xml:space="preserve">is </w:t>
      </w:r>
      <w:r w:rsidR="008003A8" w:rsidRPr="007A3F65">
        <w:rPr>
          <w:rStyle w:val="Strong"/>
          <w:rFonts w:ascii="Times New Roman" w:hAnsi="Times New Roman" w:cs="Times New Roman"/>
          <w:b w:val="0"/>
          <w:bCs w:val="0"/>
        </w:rPr>
        <w:t>first-year bonus depreciation</w:t>
      </w:r>
      <w:r w:rsidR="00A65DAD">
        <w:rPr>
          <w:rStyle w:val="Strong"/>
          <w:rFonts w:ascii="Times New Roman" w:hAnsi="Times New Roman" w:cs="Times New Roman"/>
          <w:b w:val="0"/>
          <w:bCs w:val="0"/>
        </w:rPr>
        <w:t xml:space="preserve">. </w:t>
      </w:r>
      <w:r w:rsidR="00A65DAD">
        <w:rPr>
          <w:rFonts w:ascii="Times New Roman" w:hAnsi="Times New Roman" w:cs="Times New Roman"/>
        </w:rPr>
        <w:t>It</w:t>
      </w:r>
      <w:r w:rsidR="008003A8" w:rsidRPr="007A3F65">
        <w:rPr>
          <w:rFonts w:ascii="Times New Roman" w:hAnsi="Times New Roman" w:cs="Times New Roman"/>
        </w:rPr>
        <w:t xml:space="preserve"> had been </w:t>
      </w:r>
      <w:r w:rsidR="00A65DAD">
        <w:rPr>
          <w:rFonts w:ascii="Times New Roman" w:hAnsi="Times New Roman" w:cs="Times New Roman"/>
        </w:rPr>
        <w:t xml:space="preserve">scheduled to be only 40% for 2025 (60% </w:t>
      </w:r>
      <w:r w:rsidR="00A65DAD" w:rsidRPr="007A3F65">
        <w:rPr>
          <w:rFonts w:ascii="Times New Roman" w:hAnsi="Times New Roman" w:cs="Times New Roman"/>
        </w:rPr>
        <w:t>for certain long-production assets</w:t>
      </w:r>
      <w:r w:rsidR="00A65DAD">
        <w:rPr>
          <w:rFonts w:ascii="Times New Roman" w:hAnsi="Times New Roman" w:cs="Times New Roman"/>
        </w:rPr>
        <w:t xml:space="preserve">) and </w:t>
      </w:r>
      <w:r w:rsidR="008003A8" w:rsidRPr="007A3F65">
        <w:rPr>
          <w:rFonts w:ascii="Times New Roman" w:hAnsi="Times New Roman" w:cs="Times New Roman"/>
        </w:rPr>
        <w:t>to</w:t>
      </w:r>
      <w:r w:rsidR="00D43533" w:rsidRPr="007A3F65">
        <w:rPr>
          <w:rFonts w:ascii="Times New Roman" w:hAnsi="Times New Roman" w:cs="Times New Roman"/>
        </w:rPr>
        <w:t xml:space="preserve"> vanish after 2026</w:t>
      </w:r>
      <w:r w:rsidR="00EE5188" w:rsidRPr="007A3F65">
        <w:rPr>
          <w:rFonts w:ascii="Times New Roman" w:hAnsi="Times New Roman" w:cs="Times New Roman"/>
        </w:rPr>
        <w:t>.</w:t>
      </w:r>
      <w:r w:rsidR="008003A8" w:rsidRPr="007A3F65">
        <w:rPr>
          <w:rFonts w:ascii="Times New Roman" w:hAnsi="Times New Roman" w:cs="Times New Roman"/>
        </w:rPr>
        <w:t xml:space="preserve"> </w:t>
      </w:r>
      <w:r w:rsidR="00AA1702" w:rsidRPr="007A3F65">
        <w:rPr>
          <w:rFonts w:ascii="Times New Roman" w:hAnsi="Times New Roman" w:cs="Times New Roman"/>
        </w:rPr>
        <w:t>The</w:t>
      </w:r>
      <w:r w:rsidR="008003A8" w:rsidRPr="007A3F65">
        <w:rPr>
          <w:rFonts w:ascii="Times New Roman" w:hAnsi="Times New Roman" w:cs="Times New Roman"/>
        </w:rPr>
        <w:t xml:space="preserve"> OBBBA permanently reinstate</w:t>
      </w:r>
      <w:r w:rsidR="00AA1702" w:rsidRPr="007A3F65">
        <w:rPr>
          <w:rFonts w:ascii="Times New Roman" w:hAnsi="Times New Roman" w:cs="Times New Roman"/>
        </w:rPr>
        <w:t xml:space="preserve">s </w:t>
      </w:r>
      <w:r w:rsidR="00A65DAD">
        <w:rPr>
          <w:rFonts w:ascii="Times New Roman" w:hAnsi="Times New Roman" w:cs="Times New Roman"/>
        </w:rPr>
        <w:t>100% bonus depreciation</w:t>
      </w:r>
      <w:r w:rsidR="008003A8" w:rsidRPr="007A3F65">
        <w:rPr>
          <w:rFonts w:ascii="Times New Roman" w:hAnsi="Times New Roman" w:cs="Times New Roman"/>
        </w:rPr>
        <w:t xml:space="preserve"> for eligible assets acquired and placed in service after January 19, 2025. </w:t>
      </w:r>
      <w:r w:rsidR="009D25A3">
        <w:rPr>
          <w:rFonts w:ascii="Times New Roman" w:hAnsi="Times New Roman" w:cs="Times New Roman"/>
        </w:rPr>
        <w:t xml:space="preserve">Acquiring eligible assets and placing them in service by Dec. 31, 2025, could significantly reduce your 2025 tax liability. </w:t>
      </w:r>
    </w:p>
    <w:p w14:paraId="471BEEC2" w14:textId="7F4F9744" w:rsidR="006F5389" w:rsidRPr="007A3F65" w:rsidRDefault="004645D6" w:rsidP="00AA413E">
      <w:pPr>
        <w:spacing w:after="200" w:line="240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7A3F65">
        <w:rPr>
          <w:rFonts w:ascii="Times New Roman" w:eastAsia="Arial" w:hAnsi="Times New Roman" w:cs="Times New Roman"/>
          <w:b/>
          <w:bCs/>
          <w:color w:val="000000" w:themeColor="text1"/>
        </w:rPr>
        <w:t>A</w:t>
      </w:r>
      <w:r w:rsidR="00867043" w:rsidRPr="007A3F65">
        <w:rPr>
          <w:rFonts w:ascii="Times New Roman" w:eastAsia="Arial" w:hAnsi="Times New Roman" w:cs="Times New Roman"/>
          <w:b/>
          <w:bCs/>
          <w:color w:val="000000" w:themeColor="text1"/>
        </w:rPr>
        <w:t xml:space="preserve">ssets </w:t>
      </w:r>
      <w:r w:rsidRPr="007A3F65">
        <w:rPr>
          <w:rFonts w:ascii="Times New Roman" w:eastAsia="Arial" w:hAnsi="Times New Roman" w:cs="Times New Roman"/>
          <w:b/>
          <w:bCs/>
          <w:color w:val="000000" w:themeColor="text1"/>
        </w:rPr>
        <w:t>el</w:t>
      </w:r>
      <w:r w:rsidR="00B049A2" w:rsidRPr="007A3F65">
        <w:rPr>
          <w:rFonts w:ascii="Times New Roman" w:eastAsia="Arial" w:hAnsi="Times New Roman" w:cs="Times New Roman"/>
          <w:b/>
          <w:bCs/>
          <w:color w:val="000000" w:themeColor="text1"/>
        </w:rPr>
        <w:t>i</w:t>
      </w:r>
      <w:r w:rsidRPr="007A3F65">
        <w:rPr>
          <w:rFonts w:ascii="Times New Roman" w:eastAsia="Arial" w:hAnsi="Times New Roman" w:cs="Times New Roman"/>
          <w:b/>
          <w:bCs/>
          <w:color w:val="000000" w:themeColor="text1"/>
        </w:rPr>
        <w:t xml:space="preserve">gible </w:t>
      </w:r>
      <w:r w:rsidR="00867043" w:rsidRPr="007A3F65">
        <w:rPr>
          <w:rFonts w:ascii="Times New Roman" w:eastAsia="Arial" w:hAnsi="Times New Roman" w:cs="Times New Roman"/>
          <w:b/>
          <w:bCs/>
          <w:color w:val="000000" w:themeColor="text1"/>
        </w:rPr>
        <w:t>for b</w:t>
      </w:r>
      <w:r w:rsidR="006F5389" w:rsidRPr="007A3F65">
        <w:rPr>
          <w:rFonts w:ascii="Times New Roman" w:eastAsia="Arial" w:hAnsi="Times New Roman" w:cs="Times New Roman"/>
          <w:b/>
          <w:bCs/>
          <w:color w:val="000000" w:themeColor="text1"/>
        </w:rPr>
        <w:t xml:space="preserve">onus </w:t>
      </w:r>
      <w:r w:rsidR="00867043" w:rsidRPr="007A3F65">
        <w:rPr>
          <w:rFonts w:ascii="Times New Roman" w:eastAsia="Arial" w:hAnsi="Times New Roman" w:cs="Times New Roman"/>
          <w:b/>
          <w:bCs/>
          <w:color w:val="000000" w:themeColor="text1"/>
        </w:rPr>
        <w:t>d</w:t>
      </w:r>
      <w:r w:rsidR="006F5389" w:rsidRPr="007A3F65">
        <w:rPr>
          <w:rFonts w:ascii="Times New Roman" w:eastAsia="Arial" w:hAnsi="Times New Roman" w:cs="Times New Roman"/>
          <w:b/>
          <w:bCs/>
          <w:color w:val="000000" w:themeColor="text1"/>
        </w:rPr>
        <w:t>epreciation</w:t>
      </w:r>
    </w:p>
    <w:p w14:paraId="15A364B7" w14:textId="2C4AA75E" w:rsidR="006F5389" w:rsidRPr="007A3F65" w:rsidRDefault="00FA5868" w:rsidP="00AA413E">
      <w:pPr>
        <w:spacing w:after="200" w:line="240" w:lineRule="auto"/>
        <w:rPr>
          <w:rFonts w:ascii="Times New Roman" w:hAnsi="Times New Roman" w:cs="Times New Roman"/>
        </w:rPr>
      </w:pPr>
      <w:r w:rsidRPr="007A3F65">
        <w:rPr>
          <w:rFonts w:ascii="Times New Roman" w:eastAsia="Arial" w:hAnsi="Times New Roman" w:cs="Times New Roman"/>
          <w:color w:val="000000" w:themeColor="text1"/>
        </w:rPr>
        <w:t xml:space="preserve">Eligible assets </w:t>
      </w:r>
      <w:r w:rsidR="000F662E" w:rsidRPr="007A3F65">
        <w:rPr>
          <w:rFonts w:ascii="Times New Roman" w:eastAsia="Arial" w:hAnsi="Times New Roman" w:cs="Times New Roman"/>
          <w:color w:val="000000" w:themeColor="text1"/>
        </w:rPr>
        <w:t>include</w:t>
      </w:r>
      <w:r w:rsidR="006F5389" w:rsidRPr="007A3F65">
        <w:rPr>
          <w:rFonts w:ascii="Times New Roman" w:eastAsia="Arial" w:hAnsi="Times New Roman" w:cs="Times New Roman"/>
          <w:color w:val="000000" w:themeColor="text1"/>
        </w:rPr>
        <w:t xml:space="preserve"> most depreciable personal property</w:t>
      </w:r>
      <w:r w:rsidRPr="007A3F65">
        <w:rPr>
          <w:rFonts w:ascii="Times New Roman" w:eastAsia="Arial" w:hAnsi="Times New Roman" w:cs="Times New Roman"/>
          <w:color w:val="000000" w:themeColor="text1"/>
        </w:rPr>
        <w:t>, such as:</w:t>
      </w:r>
    </w:p>
    <w:p w14:paraId="385B8AF6" w14:textId="6E32E68A" w:rsidR="006F5389" w:rsidRPr="007A3F65" w:rsidRDefault="006F5389" w:rsidP="009127C9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A3F65">
        <w:rPr>
          <w:rFonts w:ascii="Times New Roman" w:eastAsia="Arial" w:hAnsi="Times New Roman" w:cs="Times New Roman"/>
          <w:color w:val="000000" w:themeColor="text1"/>
        </w:rPr>
        <w:t>Equipment,</w:t>
      </w:r>
    </w:p>
    <w:p w14:paraId="2AEEC7F9" w14:textId="28537369" w:rsidR="006F5389" w:rsidRPr="007A3F65" w:rsidRDefault="006F5389" w:rsidP="009127C9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A3F65">
        <w:rPr>
          <w:rFonts w:ascii="Times New Roman" w:eastAsia="Arial" w:hAnsi="Times New Roman" w:cs="Times New Roman"/>
          <w:color w:val="000000" w:themeColor="text1"/>
        </w:rPr>
        <w:t>Computer hardware and peripherals,</w:t>
      </w:r>
    </w:p>
    <w:p w14:paraId="257A75AC" w14:textId="4161CC49" w:rsidR="006F5389" w:rsidRPr="007A3F65" w:rsidRDefault="006F5389" w:rsidP="009127C9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A3F65">
        <w:rPr>
          <w:rFonts w:ascii="Times New Roman" w:eastAsia="Arial" w:hAnsi="Times New Roman" w:cs="Times New Roman"/>
          <w:color w:val="000000" w:themeColor="text1"/>
        </w:rPr>
        <w:t>Certain vehicles, and</w:t>
      </w:r>
    </w:p>
    <w:p w14:paraId="660115A2" w14:textId="36BE9900" w:rsidR="006F5389" w:rsidRPr="007A3F65" w:rsidRDefault="006F5389" w:rsidP="009127C9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A3F65">
        <w:rPr>
          <w:rFonts w:ascii="Times New Roman" w:eastAsia="Arial" w:hAnsi="Times New Roman" w:cs="Times New Roman"/>
          <w:color w:val="000000" w:themeColor="text1"/>
        </w:rPr>
        <w:t>Commercially available software.</w:t>
      </w:r>
    </w:p>
    <w:p w14:paraId="2AB93B18" w14:textId="464FA29C" w:rsidR="000037A0" w:rsidRPr="007A3F65" w:rsidRDefault="00B178BF" w:rsidP="00AA413E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 w:themeColor="text1"/>
        </w:rPr>
        <w:t>Also eligible is</w:t>
      </w:r>
      <w:r w:rsidR="006F5389" w:rsidRPr="007A3F65">
        <w:rPr>
          <w:rFonts w:ascii="Times New Roman" w:eastAsia="Arial" w:hAnsi="Times New Roman" w:cs="Times New Roman"/>
          <w:color w:val="000000" w:themeColor="text1"/>
        </w:rPr>
        <w:t xml:space="preserve"> qualified improvement property</w:t>
      </w:r>
      <w:r w:rsidR="003F71A8" w:rsidRPr="007A3F65">
        <w:rPr>
          <w:rFonts w:ascii="Times New Roman" w:eastAsia="Arial" w:hAnsi="Times New Roman" w:cs="Times New Roman"/>
          <w:color w:val="000000" w:themeColor="text1"/>
        </w:rPr>
        <w:t xml:space="preserve"> (QIP), </w:t>
      </w:r>
      <w:r w:rsidR="006F5389" w:rsidRPr="007A3F65">
        <w:rPr>
          <w:rFonts w:ascii="Times New Roman" w:eastAsia="Arial" w:hAnsi="Times New Roman" w:cs="Times New Roman"/>
          <w:color w:val="000000" w:themeColor="text1"/>
        </w:rPr>
        <w:t xml:space="preserve">defined as </w:t>
      </w:r>
      <w:r w:rsidR="00A923A2" w:rsidRPr="007A3F65">
        <w:rPr>
          <w:rFonts w:ascii="Times New Roman" w:eastAsia="Arial" w:hAnsi="Times New Roman" w:cs="Times New Roman"/>
          <w:color w:val="000000" w:themeColor="text1"/>
        </w:rPr>
        <w:t>i</w:t>
      </w:r>
      <w:r w:rsidR="006F5389" w:rsidRPr="007A3F65">
        <w:rPr>
          <w:rFonts w:ascii="Times New Roman" w:eastAsia="Arial" w:hAnsi="Times New Roman" w:cs="Times New Roman"/>
          <w:color w:val="000000" w:themeColor="text1"/>
        </w:rPr>
        <w:t>mprovement</w:t>
      </w:r>
      <w:r w:rsidR="00A923A2" w:rsidRPr="007A3F65">
        <w:rPr>
          <w:rFonts w:ascii="Times New Roman" w:eastAsia="Arial" w:hAnsi="Times New Roman" w:cs="Times New Roman"/>
          <w:color w:val="000000" w:themeColor="text1"/>
        </w:rPr>
        <w:t>s</w:t>
      </w:r>
      <w:r w:rsidR="006F5389" w:rsidRPr="007A3F65">
        <w:rPr>
          <w:rFonts w:ascii="Times New Roman" w:eastAsia="Arial" w:hAnsi="Times New Roman" w:cs="Times New Roman"/>
          <w:color w:val="000000" w:themeColor="text1"/>
        </w:rPr>
        <w:t xml:space="preserve"> to</w:t>
      </w:r>
      <w:r w:rsidR="00A923A2" w:rsidRPr="007A3F65">
        <w:rPr>
          <w:rFonts w:ascii="Times New Roman" w:eastAsia="Arial" w:hAnsi="Times New Roman" w:cs="Times New Roman"/>
          <w:color w:val="000000" w:themeColor="text1"/>
        </w:rPr>
        <w:t xml:space="preserve"> the</w:t>
      </w:r>
      <w:r w:rsidR="006F5389" w:rsidRPr="007A3F65">
        <w:rPr>
          <w:rFonts w:ascii="Times New Roman" w:eastAsia="Arial" w:hAnsi="Times New Roman" w:cs="Times New Roman"/>
          <w:color w:val="000000" w:themeColor="text1"/>
        </w:rPr>
        <w:t xml:space="preserve"> interior of a nonresidential building </w:t>
      </w:r>
      <w:r w:rsidR="005B087E">
        <w:rPr>
          <w:rFonts w:ascii="Times New Roman" w:eastAsia="Arial" w:hAnsi="Times New Roman" w:cs="Times New Roman"/>
          <w:color w:val="000000" w:themeColor="text1"/>
        </w:rPr>
        <w:t>that was already</w:t>
      </w:r>
      <w:r w:rsidR="006F5389" w:rsidRPr="007A3F65">
        <w:rPr>
          <w:rFonts w:ascii="Times New Roman" w:eastAsia="Arial" w:hAnsi="Times New Roman" w:cs="Times New Roman"/>
          <w:color w:val="000000" w:themeColor="text1"/>
        </w:rPr>
        <w:t xml:space="preserve"> placed in service.</w:t>
      </w:r>
      <w:r w:rsidR="00E36A0F" w:rsidRPr="007A3F65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B049A2" w:rsidRPr="007A3F65">
        <w:rPr>
          <w:rFonts w:ascii="Times New Roman" w:eastAsia="Arial" w:hAnsi="Times New Roman" w:cs="Times New Roman"/>
          <w:color w:val="000000" w:themeColor="text1"/>
        </w:rPr>
        <w:t xml:space="preserve">QIP doesn’t include </w:t>
      </w:r>
      <w:r w:rsidR="00A254AD" w:rsidRPr="007A3F65">
        <w:rPr>
          <w:rFonts w:ascii="Times New Roman" w:eastAsia="Arial" w:hAnsi="Times New Roman" w:cs="Times New Roman"/>
          <w:color w:val="000000" w:themeColor="text1"/>
        </w:rPr>
        <w:t xml:space="preserve">costs to change the </w:t>
      </w:r>
      <w:r w:rsidR="008168E0" w:rsidRPr="007A3F65">
        <w:rPr>
          <w:rFonts w:ascii="Times New Roman" w:eastAsia="Arial" w:hAnsi="Times New Roman" w:cs="Times New Roman"/>
          <w:color w:val="000000" w:themeColor="text1"/>
        </w:rPr>
        <w:t>building’s internal structural framework</w:t>
      </w:r>
      <w:r w:rsidR="00135A42" w:rsidRPr="007A3F65">
        <w:rPr>
          <w:rFonts w:ascii="Times New Roman" w:eastAsia="Arial" w:hAnsi="Times New Roman" w:cs="Times New Roman"/>
          <w:color w:val="000000" w:themeColor="text1"/>
        </w:rPr>
        <w:t xml:space="preserve"> (such as enlargement)</w:t>
      </w:r>
      <w:r w:rsidR="00B049A2" w:rsidRPr="007A3F65">
        <w:rPr>
          <w:rFonts w:ascii="Times New Roman" w:eastAsia="Arial" w:hAnsi="Times New Roman" w:cs="Times New Roman"/>
          <w:color w:val="000000" w:themeColor="text1"/>
        </w:rPr>
        <w:t>. These costs must generally</w:t>
      </w:r>
      <w:r w:rsidR="006F5389" w:rsidRPr="007A3F65">
        <w:rPr>
          <w:rFonts w:ascii="Times New Roman" w:eastAsia="Arial" w:hAnsi="Times New Roman" w:cs="Times New Roman"/>
          <w:color w:val="000000" w:themeColor="text1"/>
        </w:rPr>
        <w:t xml:space="preserve"> be depreciated over 39 years.</w:t>
      </w:r>
      <w:r w:rsidR="00D25665" w:rsidRPr="007A3F65">
        <w:rPr>
          <w:rFonts w:ascii="Times New Roman" w:hAnsi="Times New Roman" w:cs="Times New Roman"/>
        </w:rPr>
        <w:t xml:space="preserve"> </w:t>
      </w:r>
    </w:p>
    <w:p w14:paraId="157B0300" w14:textId="25E85013" w:rsidR="000037A0" w:rsidRPr="007A3F65" w:rsidDel="008C7E6A" w:rsidRDefault="008C7E6A" w:rsidP="00AA413E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 w:themeColor="text1"/>
        </w:rPr>
        <w:t>Unlike Section 179 expensing, which is limited to $2.5 million for 2025 (up from $1.25 million before the OBBBA) and subject to a phaseout, the amount of bonus depreciation a taxpayer can claim is generally unlimited.</w:t>
      </w:r>
      <w:r w:rsidR="006849F7">
        <w:rPr>
          <w:rFonts w:ascii="Times New Roman" w:eastAsia="Arial" w:hAnsi="Times New Roman" w:cs="Times New Roman"/>
          <w:color w:val="000000" w:themeColor="text1"/>
        </w:rPr>
        <w:t xml:space="preserve"> But there are other tax consequences to consider. </w:t>
      </w:r>
    </w:p>
    <w:p w14:paraId="7027D966" w14:textId="499602EF" w:rsidR="00305346" w:rsidRPr="007A3F65" w:rsidRDefault="00305346" w:rsidP="00AA413E">
      <w:pPr>
        <w:spacing w:after="200" w:line="240" w:lineRule="auto"/>
        <w:rPr>
          <w:rFonts w:ascii="Times New Roman" w:hAnsi="Times New Roman" w:cs="Times New Roman"/>
        </w:rPr>
      </w:pPr>
      <w:r w:rsidRPr="007A3F65">
        <w:rPr>
          <w:rFonts w:ascii="Times New Roman" w:eastAsia="Arial" w:hAnsi="Times New Roman" w:cs="Times New Roman"/>
          <w:b/>
          <w:bCs/>
          <w:color w:val="000000" w:themeColor="text1"/>
        </w:rPr>
        <w:t xml:space="preserve">Beware of the </w:t>
      </w:r>
      <w:r w:rsidR="006849F7">
        <w:rPr>
          <w:rFonts w:ascii="Times New Roman" w:eastAsia="Arial" w:hAnsi="Times New Roman" w:cs="Times New Roman"/>
          <w:b/>
          <w:bCs/>
          <w:color w:val="000000" w:themeColor="text1"/>
        </w:rPr>
        <w:t>e</w:t>
      </w:r>
      <w:r w:rsidRPr="007A3F65">
        <w:rPr>
          <w:rFonts w:ascii="Times New Roman" w:eastAsia="Arial" w:hAnsi="Times New Roman" w:cs="Times New Roman"/>
          <w:b/>
          <w:bCs/>
          <w:color w:val="000000" w:themeColor="text1"/>
        </w:rPr>
        <w:t xml:space="preserve">xcess </w:t>
      </w:r>
      <w:r w:rsidR="006849F7">
        <w:rPr>
          <w:rFonts w:ascii="Times New Roman" w:eastAsia="Arial" w:hAnsi="Times New Roman" w:cs="Times New Roman"/>
          <w:b/>
          <w:bCs/>
          <w:color w:val="000000" w:themeColor="text1"/>
        </w:rPr>
        <w:t>b</w:t>
      </w:r>
      <w:r w:rsidRPr="007A3F65">
        <w:rPr>
          <w:rFonts w:ascii="Times New Roman" w:eastAsia="Arial" w:hAnsi="Times New Roman" w:cs="Times New Roman"/>
          <w:b/>
          <w:bCs/>
          <w:color w:val="000000" w:themeColor="text1"/>
        </w:rPr>
        <w:t xml:space="preserve">usiness </w:t>
      </w:r>
      <w:r w:rsidR="006849F7">
        <w:rPr>
          <w:rFonts w:ascii="Times New Roman" w:eastAsia="Arial" w:hAnsi="Times New Roman" w:cs="Times New Roman"/>
          <w:b/>
          <w:bCs/>
          <w:color w:val="000000" w:themeColor="text1"/>
        </w:rPr>
        <w:t>l</w:t>
      </w:r>
      <w:r w:rsidRPr="007A3F65">
        <w:rPr>
          <w:rFonts w:ascii="Times New Roman" w:eastAsia="Arial" w:hAnsi="Times New Roman" w:cs="Times New Roman"/>
          <w:b/>
          <w:bCs/>
          <w:color w:val="000000" w:themeColor="text1"/>
        </w:rPr>
        <w:t xml:space="preserve">oss </w:t>
      </w:r>
      <w:r w:rsidR="006849F7">
        <w:rPr>
          <w:rFonts w:ascii="Times New Roman" w:eastAsia="Arial" w:hAnsi="Times New Roman" w:cs="Times New Roman"/>
          <w:b/>
          <w:bCs/>
          <w:color w:val="000000" w:themeColor="text1"/>
        </w:rPr>
        <w:t>r</w:t>
      </w:r>
      <w:r w:rsidRPr="007A3F65">
        <w:rPr>
          <w:rFonts w:ascii="Times New Roman" w:eastAsia="Arial" w:hAnsi="Times New Roman" w:cs="Times New Roman"/>
          <w:b/>
          <w:bCs/>
          <w:color w:val="000000" w:themeColor="text1"/>
        </w:rPr>
        <w:t>ule</w:t>
      </w:r>
    </w:p>
    <w:p w14:paraId="24E61AF2" w14:textId="3B8867E5" w:rsidR="006374AA" w:rsidRDefault="008C7E6A" w:rsidP="008C7E6A">
      <w:pPr>
        <w:spacing w:after="200" w:line="240" w:lineRule="auto"/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</w:rPr>
        <w:t>I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>ndividual taxpayers</w:t>
      </w:r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7A3F65">
        <w:rPr>
          <w:rFonts w:ascii="Times New Roman" w:eastAsia="Arial" w:hAnsi="Times New Roman" w:cs="Times New Roman"/>
          <w:color w:val="000000" w:themeColor="text1"/>
        </w:rPr>
        <w:t xml:space="preserve">who have losses </w:t>
      </w:r>
      <w:r>
        <w:rPr>
          <w:rFonts w:ascii="Times New Roman" w:eastAsia="Arial" w:hAnsi="Times New Roman" w:cs="Times New Roman"/>
          <w:color w:val="000000" w:themeColor="text1"/>
        </w:rPr>
        <w:t>as a sole proprietor or as an owner of a pass-through entity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6849F7">
        <w:rPr>
          <w:rFonts w:ascii="Times New Roman" w:eastAsia="Arial" w:hAnsi="Times New Roman" w:cs="Times New Roman"/>
          <w:color w:val="000000" w:themeColor="text1"/>
        </w:rPr>
        <w:t>(</w:t>
      </w:r>
      <w:r w:rsidR="006849F7" w:rsidRPr="006374AA">
        <w:rPr>
          <w:rFonts w:ascii="Times New Roman" w:eastAsia="Arial" w:hAnsi="Times New Roman" w:cs="Times New Roman"/>
          <w:color w:val="000000" w:themeColor="text1"/>
        </w:rPr>
        <w:t>partnerships, S corporations and</w:t>
      </w:r>
      <w:r w:rsidR="006849F7">
        <w:rPr>
          <w:rFonts w:ascii="Times New Roman" w:eastAsia="Arial" w:hAnsi="Times New Roman" w:cs="Times New Roman"/>
          <w:color w:val="000000" w:themeColor="text1"/>
        </w:rPr>
        <w:t xml:space="preserve">, generally, limited liability companies) 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>may inadvertently trigger the excess business loss rule</w:t>
      </w:r>
      <w:r>
        <w:rPr>
          <w:rFonts w:ascii="Times New Roman" w:eastAsia="Arial" w:hAnsi="Times New Roman" w:cs="Times New Roman"/>
          <w:color w:val="000000" w:themeColor="text1"/>
        </w:rPr>
        <w:t xml:space="preserve"> when they claim bonus depreciation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>. The excess business loss rule</w:t>
      </w:r>
      <w:r w:rsidR="009018E5">
        <w:rPr>
          <w:rFonts w:ascii="Times New Roman" w:eastAsia="Arial" w:hAnsi="Times New Roman" w:cs="Times New Roman"/>
          <w:color w:val="000000" w:themeColor="text1"/>
        </w:rPr>
        <w:t xml:space="preserve"> allows business </w:t>
      </w:r>
      <w:r w:rsidR="009018E5" w:rsidRPr="009018E5">
        <w:rPr>
          <w:rFonts w:ascii="Times New Roman" w:eastAsia="Arial" w:hAnsi="Times New Roman" w:cs="Times New Roman"/>
          <w:color w:val="000000" w:themeColor="text1"/>
        </w:rPr>
        <w:t xml:space="preserve">losses </w:t>
      </w:r>
      <w:r w:rsidR="009018E5">
        <w:rPr>
          <w:rFonts w:ascii="Times New Roman" w:eastAsia="Arial" w:hAnsi="Times New Roman" w:cs="Times New Roman"/>
          <w:color w:val="000000" w:themeColor="text1"/>
        </w:rPr>
        <w:t>to offset</w:t>
      </w:r>
      <w:r w:rsidR="009018E5" w:rsidRPr="009018E5">
        <w:rPr>
          <w:rFonts w:ascii="Times New Roman" w:eastAsia="Arial" w:hAnsi="Times New Roman" w:cs="Times New Roman"/>
          <w:color w:val="000000" w:themeColor="text1"/>
        </w:rPr>
        <w:t xml:space="preserve"> income from other sources</w:t>
      </w:r>
      <w:r w:rsidR="009018E5">
        <w:rPr>
          <w:rFonts w:ascii="Times New Roman" w:eastAsia="Arial" w:hAnsi="Times New Roman" w:cs="Times New Roman"/>
          <w:color w:val="000000" w:themeColor="text1"/>
        </w:rPr>
        <w:t xml:space="preserve"> (</w:t>
      </w:r>
      <w:r w:rsidR="009018E5" w:rsidRPr="009018E5">
        <w:rPr>
          <w:rFonts w:ascii="Times New Roman" w:eastAsia="Arial" w:hAnsi="Times New Roman" w:cs="Times New Roman"/>
          <w:color w:val="000000" w:themeColor="text1"/>
        </w:rPr>
        <w:t>such as salary, self-employment income, interest, dividends and capital gains</w:t>
      </w:r>
      <w:r w:rsidR="009018E5">
        <w:rPr>
          <w:rFonts w:ascii="Times New Roman" w:eastAsia="Arial" w:hAnsi="Times New Roman" w:cs="Times New Roman"/>
          <w:color w:val="000000" w:themeColor="text1"/>
        </w:rPr>
        <w:t>)</w:t>
      </w:r>
      <w:r w:rsidR="009018E5" w:rsidRPr="009018E5">
        <w:rPr>
          <w:rFonts w:ascii="Times New Roman" w:eastAsia="Arial" w:hAnsi="Times New Roman" w:cs="Times New Roman"/>
          <w:color w:val="000000" w:themeColor="text1"/>
        </w:rPr>
        <w:t xml:space="preserve"> only up to </w:t>
      </w:r>
      <w:r w:rsidR="009018E5">
        <w:rPr>
          <w:rFonts w:ascii="Times New Roman" w:eastAsia="Arial" w:hAnsi="Times New Roman" w:cs="Times New Roman"/>
          <w:color w:val="000000" w:themeColor="text1"/>
        </w:rPr>
        <w:t>an annual limit.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9018E5">
        <w:rPr>
          <w:rFonts w:ascii="Times New Roman" w:eastAsia="Arial" w:hAnsi="Times New Roman" w:cs="Times New Roman"/>
          <w:color w:val="000000" w:themeColor="text1"/>
        </w:rPr>
        <w:t xml:space="preserve">Amounts above that limit are excess business losses. 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 xml:space="preserve">For 2025, </w:t>
      </w:r>
      <w:r w:rsidR="00543E3E">
        <w:rPr>
          <w:rFonts w:ascii="Times New Roman" w:eastAsia="Arial" w:hAnsi="Times New Roman" w:cs="Times New Roman"/>
          <w:color w:val="000000" w:themeColor="text1"/>
        </w:rPr>
        <w:t>this is the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 xml:space="preserve"> excess of aggregate business losses over $313,000 ($626,000 for married</w:t>
      </w:r>
      <w:r w:rsidR="009127C9">
        <w:rPr>
          <w:rFonts w:ascii="Times New Roman" w:eastAsia="Arial" w:hAnsi="Times New Roman" w:cs="Times New Roman"/>
          <w:color w:val="000000" w:themeColor="text1"/>
        </w:rPr>
        <w:t xml:space="preserve"> couples filing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 xml:space="preserve"> joint</w:t>
      </w:r>
      <w:r w:rsidR="009127C9">
        <w:rPr>
          <w:rFonts w:ascii="Times New Roman" w:eastAsia="Arial" w:hAnsi="Times New Roman" w:cs="Times New Roman"/>
          <w:color w:val="000000" w:themeColor="text1"/>
        </w:rPr>
        <w:t>ly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 xml:space="preserve">). </w:t>
      </w:r>
    </w:p>
    <w:p w14:paraId="713896EF" w14:textId="2D7061DF" w:rsidR="0005250A" w:rsidRPr="007A3F65" w:rsidRDefault="005F3FC2" w:rsidP="008C7E6A">
      <w:pPr>
        <w:spacing w:after="20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A3F65">
        <w:rPr>
          <w:rFonts w:ascii="Times New Roman" w:eastAsia="Arial" w:hAnsi="Times New Roman" w:cs="Times New Roman"/>
          <w:color w:val="000000" w:themeColor="text1"/>
        </w:rPr>
        <w:t>E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>xcess business loss</w:t>
      </w:r>
      <w:r w:rsidRPr="007A3F65">
        <w:rPr>
          <w:rFonts w:ascii="Times New Roman" w:eastAsia="Arial" w:hAnsi="Times New Roman" w:cs="Times New Roman"/>
          <w:color w:val="000000" w:themeColor="text1"/>
        </w:rPr>
        <w:t>es can’t be deducted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 xml:space="preserve"> in the current year</w:t>
      </w:r>
      <w:r w:rsidRPr="007A3F65">
        <w:rPr>
          <w:rFonts w:ascii="Times New Roman" w:eastAsia="Arial" w:hAnsi="Times New Roman" w:cs="Times New Roman"/>
          <w:color w:val="000000" w:themeColor="text1"/>
        </w:rPr>
        <w:t xml:space="preserve"> and must be 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 xml:space="preserve">carried </w:t>
      </w:r>
      <w:r w:rsidR="009018E5">
        <w:rPr>
          <w:rFonts w:ascii="Times New Roman" w:eastAsia="Arial" w:hAnsi="Times New Roman" w:cs="Times New Roman"/>
          <w:color w:val="000000" w:themeColor="text1"/>
        </w:rPr>
        <w:t>forward</w:t>
      </w:r>
      <w:r w:rsidR="009018E5" w:rsidRPr="007A3F65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>to the following tax year</w:t>
      </w:r>
      <w:r w:rsidR="0036516D" w:rsidRPr="007A3F65">
        <w:rPr>
          <w:rFonts w:ascii="Times New Roman" w:eastAsia="Arial" w:hAnsi="Times New Roman" w:cs="Times New Roman"/>
          <w:color w:val="000000" w:themeColor="text1"/>
        </w:rPr>
        <w:t>. Such losses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 xml:space="preserve"> can then be deducted under the rules for </w:t>
      </w:r>
      <w:r w:rsidR="006374AA">
        <w:rPr>
          <w:rFonts w:ascii="Times New Roman" w:eastAsia="Arial" w:hAnsi="Times New Roman" w:cs="Times New Roman"/>
          <w:color w:val="000000" w:themeColor="text1"/>
        </w:rPr>
        <w:t xml:space="preserve">net operation loss 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>carryforwards.</w:t>
      </w:r>
      <w:r w:rsidR="0036516D" w:rsidRPr="007A3F65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9018E5">
        <w:rPr>
          <w:rFonts w:ascii="Times New Roman" w:eastAsia="Arial" w:hAnsi="Times New Roman" w:cs="Times New Roman"/>
          <w:color w:val="000000" w:themeColor="text1"/>
        </w:rPr>
        <w:t>As a result</w:t>
      </w:r>
      <w:r w:rsidR="0036516D" w:rsidRPr="007A3F65">
        <w:rPr>
          <w:rFonts w:ascii="Times New Roman" w:eastAsia="Arial" w:hAnsi="Times New Roman" w:cs="Times New Roman"/>
          <w:color w:val="000000" w:themeColor="text1"/>
        </w:rPr>
        <w:t xml:space="preserve">, </w:t>
      </w:r>
      <w:r w:rsidR="00305346" w:rsidRPr="007A3F65">
        <w:rPr>
          <w:rFonts w:ascii="Times New Roman" w:eastAsia="Arial" w:hAnsi="Times New Roman" w:cs="Times New Roman"/>
          <w:color w:val="000000" w:themeColor="text1"/>
        </w:rPr>
        <w:t xml:space="preserve">an individual taxpayer's 100% first-year bonus depreciation deduction can effectively be limited by the excess business loss rule. </w:t>
      </w:r>
    </w:p>
    <w:p w14:paraId="28F6BA56" w14:textId="79710246" w:rsidR="0005250A" w:rsidRPr="007A3F65" w:rsidRDefault="0005250A" w:rsidP="00AA413E">
      <w:pPr>
        <w:spacing w:after="200" w:line="240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7A3F65">
        <w:rPr>
          <w:rFonts w:ascii="Times New Roman" w:eastAsia="Arial" w:hAnsi="Times New Roman" w:cs="Times New Roman"/>
          <w:b/>
          <w:bCs/>
          <w:color w:val="000000" w:themeColor="text1"/>
        </w:rPr>
        <w:t>Wrapping it up</w:t>
      </w:r>
    </w:p>
    <w:p w14:paraId="4F692365" w14:textId="5B580C1A" w:rsidR="0005250A" w:rsidRPr="007A3F65" w:rsidRDefault="0005250A" w:rsidP="00AA413E">
      <w:pPr>
        <w:spacing w:after="20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A3F65">
        <w:rPr>
          <w:rFonts w:ascii="Times New Roman" w:hAnsi="Times New Roman" w:cs="Times New Roman"/>
        </w:rPr>
        <w:t>The permanent restoration of 100% first-year bonus depreciation</w:t>
      </w:r>
      <w:r w:rsidR="000A6314" w:rsidRPr="007A3F65">
        <w:rPr>
          <w:rFonts w:ascii="Times New Roman" w:hAnsi="Times New Roman" w:cs="Times New Roman"/>
        </w:rPr>
        <w:t xml:space="preserve"> </w:t>
      </w:r>
      <w:r w:rsidR="00F80E49" w:rsidRPr="007A3F65">
        <w:rPr>
          <w:rFonts w:ascii="Times New Roman" w:hAnsi="Times New Roman" w:cs="Times New Roman"/>
        </w:rPr>
        <w:t xml:space="preserve">creates tax-saving opportunities for taxpayers </w:t>
      </w:r>
      <w:r w:rsidR="00EB12C2" w:rsidRPr="007A3F65">
        <w:rPr>
          <w:rFonts w:ascii="Times New Roman" w:hAnsi="Times New Roman" w:cs="Times New Roman"/>
        </w:rPr>
        <w:t xml:space="preserve">while they expand their business potential. </w:t>
      </w:r>
      <w:r w:rsidRPr="007A3F65">
        <w:rPr>
          <w:rFonts w:ascii="Times New Roman" w:hAnsi="Times New Roman" w:cs="Times New Roman"/>
        </w:rPr>
        <w:t>Because every situation is different, it’s essential to review your business’s circumstances carefully</w:t>
      </w:r>
      <w:r w:rsidR="008B412F" w:rsidRPr="007A3F65">
        <w:rPr>
          <w:rFonts w:ascii="Times New Roman" w:hAnsi="Times New Roman" w:cs="Times New Roman"/>
        </w:rPr>
        <w:t xml:space="preserve">. </w:t>
      </w:r>
      <w:r w:rsidRPr="007A3F65">
        <w:rPr>
          <w:rFonts w:ascii="Times New Roman" w:hAnsi="Times New Roman" w:cs="Times New Roman"/>
        </w:rPr>
        <w:t xml:space="preserve">Consult your tax advisor </w:t>
      </w:r>
      <w:proofErr w:type="gramStart"/>
      <w:r w:rsidR="005576DC" w:rsidRPr="007A3F65">
        <w:rPr>
          <w:rFonts w:ascii="Times New Roman" w:hAnsi="Times New Roman" w:cs="Times New Roman"/>
        </w:rPr>
        <w:t>for</w:t>
      </w:r>
      <w:proofErr w:type="gramEnd"/>
      <w:r w:rsidR="005576DC" w:rsidRPr="007A3F65">
        <w:rPr>
          <w:rFonts w:ascii="Times New Roman" w:hAnsi="Times New Roman" w:cs="Times New Roman"/>
        </w:rPr>
        <w:t xml:space="preserve"> help tailoring your</w:t>
      </w:r>
      <w:r w:rsidR="00FF6948" w:rsidRPr="007A3F65">
        <w:rPr>
          <w:rFonts w:ascii="Times New Roman" w:hAnsi="Times New Roman" w:cs="Times New Roman"/>
        </w:rPr>
        <w:t xml:space="preserve"> </w:t>
      </w:r>
      <w:r w:rsidR="005576DC" w:rsidRPr="007A3F65">
        <w:rPr>
          <w:rFonts w:ascii="Times New Roman" w:hAnsi="Times New Roman" w:cs="Times New Roman"/>
        </w:rPr>
        <w:t xml:space="preserve">growth strategies for </w:t>
      </w:r>
      <w:r w:rsidR="00FF6948" w:rsidRPr="007A3F65">
        <w:rPr>
          <w:rFonts w:ascii="Times New Roman" w:hAnsi="Times New Roman" w:cs="Times New Roman"/>
        </w:rPr>
        <w:t xml:space="preserve">2025 and beyond. </w:t>
      </w:r>
    </w:p>
    <w:p w14:paraId="714EBEDE" w14:textId="5D36A9CA" w:rsidR="004648C9" w:rsidRPr="007A3F65" w:rsidRDefault="00305346" w:rsidP="00AA413E">
      <w:pPr>
        <w:spacing w:after="200" w:line="240" w:lineRule="auto"/>
        <w:rPr>
          <w:rFonts w:ascii="Times New Roman" w:hAnsi="Times New Roman" w:cs="Times New Roman"/>
        </w:rPr>
      </w:pPr>
      <w:r w:rsidRPr="007A3F65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2C078E63" w14:textId="4FBF19D4" w:rsidR="009C3C04" w:rsidRPr="007A3F65" w:rsidRDefault="005212DB" w:rsidP="00AA413E">
      <w:pPr>
        <w:spacing w:after="200" w:line="240" w:lineRule="auto"/>
        <w:rPr>
          <w:rFonts w:ascii="Times New Roman" w:hAnsi="Times New Roman" w:cs="Times New Roman"/>
        </w:rPr>
      </w:pPr>
      <w:r w:rsidRPr="007A3F65">
        <w:rPr>
          <w:rFonts w:ascii="Times New Roman" w:hAnsi="Times New Roman" w:cs="Times New Roman"/>
        </w:rPr>
        <w:t>Sideb</w:t>
      </w:r>
      <w:r w:rsidR="00FC3B21" w:rsidRPr="007A3F65">
        <w:rPr>
          <w:rFonts w:ascii="Times New Roman" w:hAnsi="Times New Roman" w:cs="Times New Roman"/>
        </w:rPr>
        <w:t xml:space="preserve">ar: </w:t>
      </w:r>
    </w:p>
    <w:p w14:paraId="3FC3AD3D" w14:textId="04699651" w:rsidR="008D4AE3" w:rsidRPr="00856C63" w:rsidRDefault="000304FC" w:rsidP="00AA413E">
      <w:pPr>
        <w:spacing w:after="20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Before year</w:t>
      </w:r>
      <w:r w:rsidR="00AA413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end, s</w:t>
      </w:r>
      <w:r w:rsidR="0066756C">
        <w:rPr>
          <w:rFonts w:ascii="Times New Roman" w:hAnsi="Times New Roman" w:cs="Times New Roman"/>
          <w:b/>
          <w:bCs/>
        </w:rPr>
        <w:t>ave</w:t>
      </w:r>
      <w:r w:rsidR="00632415" w:rsidRPr="00856C63">
        <w:rPr>
          <w:rFonts w:ascii="Times New Roman" w:hAnsi="Times New Roman" w:cs="Times New Roman"/>
          <w:b/>
          <w:bCs/>
        </w:rPr>
        <w:t xml:space="preserve"> taxes </w:t>
      </w:r>
      <w:r w:rsidR="0066756C">
        <w:rPr>
          <w:rFonts w:ascii="Times New Roman" w:hAnsi="Times New Roman" w:cs="Times New Roman"/>
          <w:b/>
          <w:bCs/>
        </w:rPr>
        <w:t>by saving for</w:t>
      </w:r>
      <w:r w:rsidR="00632415" w:rsidRPr="00856C63">
        <w:rPr>
          <w:rFonts w:ascii="Times New Roman" w:hAnsi="Times New Roman" w:cs="Times New Roman"/>
          <w:b/>
          <w:bCs/>
        </w:rPr>
        <w:t xml:space="preserve"> retirement</w:t>
      </w:r>
    </w:p>
    <w:p w14:paraId="2961E018" w14:textId="35699EA0" w:rsidR="009018E5" w:rsidRDefault="002A15B2" w:rsidP="00AA413E">
      <w:pPr>
        <w:spacing w:after="200" w:line="240" w:lineRule="auto"/>
        <w:rPr>
          <w:rFonts w:ascii="Times New Roman" w:hAnsi="Times New Roman" w:cs="Times New Roman"/>
        </w:rPr>
      </w:pPr>
      <w:r w:rsidRPr="00856C63">
        <w:rPr>
          <w:rFonts w:ascii="Times New Roman" w:hAnsi="Times New Roman" w:cs="Times New Roman"/>
        </w:rPr>
        <w:t xml:space="preserve">Tax-favored retirement plans can provide significant savings </w:t>
      </w:r>
      <w:r w:rsidR="003C1463">
        <w:rPr>
          <w:rFonts w:ascii="Times New Roman" w:hAnsi="Times New Roman" w:cs="Times New Roman"/>
        </w:rPr>
        <w:t xml:space="preserve">for </w:t>
      </w:r>
      <w:r w:rsidR="00632415" w:rsidRPr="00856C63">
        <w:rPr>
          <w:rFonts w:ascii="Times New Roman" w:hAnsi="Times New Roman" w:cs="Times New Roman"/>
        </w:rPr>
        <w:t>small business owners,</w:t>
      </w:r>
      <w:r w:rsidRPr="00856C63">
        <w:rPr>
          <w:rFonts w:ascii="Times New Roman" w:hAnsi="Times New Roman" w:cs="Times New Roman"/>
        </w:rPr>
        <w:t xml:space="preserve"> both by building retirement security and by reducing taxes. </w:t>
      </w:r>
      <w:r w:rsidR="009018E5">
        <w:rPr>
          <w:rFonts w:ascii="Times New Roman" w:hAnsi="Times New Roman" w:cs="Times New Roman"/>
        </w:rPr>
        <w:t>Contributions are tax-deductible (or pre-tax, if you’re contributing as an employee).</w:t>
      </w:r>
    </w:p>
    <w:p w14:paraId="4F7A346B" w14:textId="034FAA23" w:rsidR="009B5579" w:rsidRPr="00856C63" w:rsidRDefault="002A15B2" w:rsidP="00AA413E">
      <w:pPr>
        <w:spacing w:after="200" w:line="240" w:lineRule="auto"/>
        <w:rPr>
          <w:rFonts w:ascii="Times New Roman" w:hAnsi="Times New Roman" w:cs="Times New Roman"/>
        </w:rPr>
      </w:pPr>
      <w:r w:rsidRPr="00856C63">
        <w:rPr>
          <w:rFonts w:ascii="Times New Roman" w:hAnsi="Times New Roman" w:cs="Times New Roman"/>
        </w:rPr>
        <w:t>One of the simplest options is a Simplified Employee Pension</w:t>
      </w:r>
      <w:r w:rsidR="00080B99">
        <w:rPr>
          <w:rFonts w:ascii="Times New Roman" w:hAnsi="Times New Roman" w:cs="Times New Roman"/>
        </w:rPr>
        <w:t xml:space="preserve"> </w:t>
      </w:r>
      <w:r w:rsidRPr="00856C63">
        <w:rPr>
          <w:rFonts w:ascii="Times New Roman" w:hAnsi="Times New Roman" w:cs="Times New Roman"/>
        </w:rPr>
        <w:t>(SEP) IRA. If you</w:t>
      </w:r>
      <w:r w:rsidR="00DA28FF" w:rsidRPr="00856C63">
        <w:rPr>
          <w:rFonts w:ascii="Times New Roman" w:hAnsi="Times New Roman" w:cs="Times New Roman"/>
        </w:rPr>
        <w:t>’re</w:t>
      </w:r>
      <w:r w:rsidRPr="00856C63">
        <w:rPr>
          <w:rFonts w:ascii="Times New Roman" w:hAnsi="Times New Roman" w:cs="Times New Roman"/>
        </w:rPr>
        <w:t xml:space="preserve"> self-employed, you can contribute up to 20% of your net income</w:t>
      </w:r>
      <w:r w:rsidR="008943C9">
        <w:rPr>
          <w:rFonts w:ascii="Times New Roman" w:hAnsi="Times New Roman" w:cs="Times New Roman"/>
        </w:rPr>
        <w:t xml:space="preserve"> to a SEP IRA</w:t>
      </w:r>
      <w:r w:rsidRPr="00856C63">
        <w:rPr>
          <w:rFonts w:ascii="Times New Roman" w:hAnsi="Times New Roman" w:cs="Times New Roman"/>
        </w:rPr>
        <w:t>, with a cap of $</w:t>
      </w:r>
      <w:r w:rsidR="00AD2D74" w:rsidRPr="00856C63">
        <w:rPr>
          <w:rFonts w:ascii="Times New Roman" w:hAnsi="Times New Roman" w:cs="Times New Roman"/>
        </w:rPr>
        <w:t>70</w:t>
      </w:r>
      <w:r w:rsidRPr="00856C63">
        <w:rPr>
          <w:rFonts w:ascii="Times New Roman" w:hAnsi="Times New Roman" w:cs="Times New Roman"/>
        </w:rPr>
        <w:t>,000 for the 202</w:t>
      </w:r>
      <w:r w:rsidR="00AD2D74" w:rsidRPr="00856C63">
        <w:rPr>
          <w:rFonts w:ascii="Times New Roman" w:hAnsi="Times New Roman" w:cs="Times New Roman"/>
        </w:rPr>
        <w:t>5</w:t>
      </w:r>
      <w:r w:rsidRPr="00856C63">
        <w:rPr>
          <w:rFonts w:ascii="Times New Roman" w:hAnsi="Times New Roman" w:cs="Times New Roman"/>
        </w:rPr>
        <w:t xml:space="preserve"> tax year. If </w:t>
      </w:r>
      <w:r w:rsidR="0079272D">
        <w:rPr>
          <w:rFonts w:ascii="Times New Roman" w:hAnsi="Times New Roman" w:cs="Times New Roman"/>
        </w:rPr>
        <w:t>your own corporation employs you</w:t>
      </w:r>
      <w:r w:rsidRPr="00856C63">
        <w:rPr>
          <w:rFonts w:ascii="Times New Roman" w:hAnsi="Times New Roman" w:cs="Times New Roman"/>
        </w:rPr>
        <w:t xml:space="preserve">, the contribution limit is 25% of </w:t>
      </w:r>
      <w:r w:rsidR="0079272D">
        <w:rPr>
          <w:rFonts w:ascii="Times New Roman" w:hAnsi="Times New Roman" w:cs="Times New Roman"/>
        </w:rPr>
        <w:t xml:space="preserve">your </w:t>
      </w:r>
      <w:r w:rsidRPr="00856C63">
        <w:rPr>
          <w:rFonts w:ascii="Times New Roman" w:hAnsi="Times New Roman" w:cs="Times New Roman"/>
        </w:rPr>
        <w:t>salary, also capped at $</w:t>
      </w:r>
      <w:r w:rsidR="00AD2D74" w:rsidRPr="00856C63">
        <w:rPr>
          <w:rFonts w:ascii="Times New Roman" w:hAnsi="Times New Roman" w:cs="Times New Roman"/>
        </w:rPr>
        <w:t>70</w:t>
      </w:r>
      <w:r w:rsidRPr="00856C63">
        <w:rPr>
          <w:rFonts w:ascii="Times New Roman" w:hAnsi="Times New Roman" w:cs="Times New Roman"/>
        </w:rPr>
        <w:t>,000. The tax savings can be substantial.</w:t>
      </w:r>
    </w:p>
    <w:p w14:paraId="2B383264" w14:textId="79DDDC21" w:rsidR="009B5579" w:rsidRPr="00856C63" w:rsidRDefault="00680C0E" w:rsidP="00AA413E">
      <w:pPr>
        <w:spacing w:after="200" w:line="240" w:lineRule="auto"/>
        <w:rPr>
          <w:rFonts w:ascii="Times New Roman" w:hAnsi="Times New Roman" w:cs="Times New Roman"/>
        </w:rPr>
      </w:pPr>
      <w:r w:rsidRPr="00856C63">
        <w:rPr>
          <w:rFonts w:ascii="Times New Roman" w:hAnsi="Times New Roman" w:cs="Times New Roman"/>
        </w:rPr>
        <w:t>Other</w:t>
      </w:r>
      <w:r w:rsidR="001B5E85" w:rsidRPr="00856C63">
        <w:rPr>
          <w:rFonts w:ascii="Times New Roman" w:hAnsi="Times New Roman" w:cs="Times New Roman"/>
        </w:rPr>
        <w:t xml:space="preserve"> </w:t>
      </w:r>
      <w:r w:rsidRPr="00856C63">
        <w:rPr>
          <w:rFonts w:ascii="Times New Roman" w:hAnsi="Times New Roman" w:cs="Times New Roman"/>
        </w:rPr>
        <w:t>options include 401(k)s</w:t>
      </w:r>
      <w:r w:rsidR="00840D15" w:rsidRPr="00856C63">
        <w:rPr>
          <w:rFonts w:ascii="Times New Roman" w:hAnsi="Times New Roman" w:cs="Times New Roman"/>
        </w:rPr>
        <w:t>, SIMPLE IRAs</w:t>
      </w:r>
      <w:r w:rsidR="009661DC" w:rsidRPr="00856C63">
        <w:rPr>
          <w:rFonts w:ascii="Times New Roman" w:hAnsi="Times New Roman" w:cs="Times New Roman"/>
        </w:rPr>
        <w:t xml:space="preserve"> </w:t>
      </w:r>
      <w:r w:rsidR="00840D15" w:rsidRPr="00856C63">
        <w:rPr>
          <w:rFonts w:ascii="Times New Roman" w:hAnsi="Times New Roman" w:cs="Times New Roman"/>
        </w:rPr>
        <w:t xml:space="preserve">and </w:t>
      </w:r>
      <w:r w:rsidR="00B178BF">
        <w:rPr>
          <w:rFonts w:ascii="Times New Roman" w:hAnsi="Times New Roman" w:cs="Times New Roman"/>
        </w:rPr>
        <w:t>defined benefit plans</w:t>
      </w:r>
      <w:r w:rsidR="00840D15" w:rsidRPr="00856C63">
        <w:rPr>
          <w:rFonts w:ascii="Times New Roman" w:hAnsi="Times New Roman" w:cs="Times New Roman"/>
        </w:rPr>
        <w:t xml:space="preserve">. </w:t>
      </w:r>
      <w:r w:rsidR="009018E5">
        <w:rPr>
          <w:rFonts w:ascii="Times New Roman" w:hAnsi="Times New Roman" w:cs="Times New Roman"/>
        </w:rPr>
        <w:t xml:space="preserve">Depending on your age and income, some of these options might allow you to make even larger contributions. </w:t>
      </w:r>
      <w:r w:rsidR="001B5E85" w:rsidRPr="00856C63">
        <w:rPr>
          <w:rFonts w:ascii="Times New Roman" w:hAnsi="Times New Roman" w:cs="Times New Roman"/>
        </w:rPr>
        <w:t xml:space="preserve">Ask your </w:t>
      </w:r>
      <w:r w:rsidR="00AA1702" w:rsidRPr="00856C63">
        <w:rPr>
          <w:rFonts w:ascii="Times New Roman" w:hAnsi="Times New Roman" w:cs="Times New Roman"/>
        </w:rPr>
        <w:t xml:space="preserve">tax advisor for details. </w:t>
      </w:r>
    </w:p>
    <w:p w14:paraId="50D9C7F0" w14:textId="4F52CD08" w:rsidR="008D4AE3" w:rsidRPr="007A3F65" w:rsidRDefault="008D4AE3" w:rsidP="00AA413E">
      <w:pPr>
        <w:spacing w:after="200" w:line="240" w:lineRule="auto"/>
        <w:rPr>
          <w:rFonts w:ascii="Times New Roman" w:hAnsi="Times New Roman" w:cs="Times New Roman"/>
        </w:rPr>
      </w:pPr>
    </w:p>
    <w:sectPr w:rsidR="008D4AE3" w:rsidRPr="007A3F65" w:rsidSect="00AA413E">
      <w:pgSz w:w="12240" w:h="15840"/>
      <w:pgMar w:top="1440" w:right="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5F14"/>
    <w:multiLevelType w:val="hybridMultilevel"/>
    <w:tmpl w:val="3B6C2B0E"/>
    <w:lvl w:ilvl="0" w:tplc="0CE06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C7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8E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CF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AD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87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A7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22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8A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2A89"/>
    <w:multiLevelType w:val="hybridMultilevel"/>
    <w:tmpl w:val="F47E07A0"/>
    <w:lvl w:ilvl="0" w:tplc="F412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4C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CC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82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AA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48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CD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EC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F01A"/>
    <w:multiLevelType w:val="hybridMultilevel"/>
    <w:tmpl w:val="24D09D4E"/>
    <w:lvl w:ilvl="0" w:tplc="35266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1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A0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2D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E0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A0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A5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6B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A0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83933">
    <w:abstractNumId w:val="2"/>
  </w:num>
  <w:num w:numId="2" w16cid:durableId="593900412">
    <w:abstractNumId w:val="0"/>
  </w:num>
  <w:num w:numId="3" w16cid:durableId="22611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76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129F5F"/>
    <w:rsid w:val="00001579"/>
    <w:rsid w:val="000037A0"/>
    <w:rsid w:val="00016E71"/>
    <w:rsid w:val="000304FC"/>
    <w:rsid w:val="0005250A"/>
    <w:rsid w:val="000615DC"/>
    <w:rsid w:val="000660FB"/>
    <w:rsid w:val="00080B99"/>
    <w:rsid w:val="000A6314"/>
    <w:rsid w:val="000E4293"/>
    <w:rsid w:val="000F1AFF"/>
    <w:rsid w:val="000F662E"/>
    <w:rsid w:val="00135A42"/>
    <w:rsid w:val="00162745"/>
    <w:rsid w:val="00164873"/>
    <w:rsid w:val="00167F47"/>
    <w:rsid w:val="001B5E85"/>
    <w:rsid w:val="001F2363"/>
    <w:rsid w:val="00227AB5"/>
    <w:rsid w:val="00230A1F"/>
    <w:rsid w:val="00233963"/>
    <w:rsid w:val="00254C6B"/>
    <w:rsid w:val="002A15B2"/>
    <w:rsid w:val="002A408B"/>
    <w:rsid w:val="002A604C"/>
    <w:rsid w:val="002C6FD8"/>
    <w:rsid w:val="00305346"/>
    <w:rsid w:val="00317B8E"/>
    <w:rsid w:val="0036516D"/>
    <w:rsid w:val="003762F6"/>
    <w:rsid w:val="00383FBB"/>
    <w:rsid w:val="003918C5"/>
    <w:rsid w:val="003A2713"/>
    <w:rsid w:val="003A4E14"/>
    <w:rsid w:val="003C1463"/>
    <w:rsid w:val="003E0D4C"/>
    <w:rsid w:val="003F71A8"/>
    <w:rsid w:val="004052F0"/>
    <w:rsid w:val="00425DA2"/>
    <w:rsid w:val="0044450E"/>
    <w:rsid w:val="004645D6"/>
    <w:rsid w:val="004648C9"/>
    <w:rsid w:val="0047154B"/>
    <w:rsid w:val="004A52CE"/>
    <w:rsid w:val="004D3B4B"/>
    <w:rsid w:val="004D5474"/>
    <w:rsid w:val="005212DB"/>
    <w:rsid w:val="00530393"/>
    <w:rsid w:val="005436C4"/>
    <w:rsid w:val="00543E3E"/>
    <w:rsid w:val="005576DC"/>
    <w:rsid w:val="00576123"/>
    <w:rsid w:val="00583385"/>
    <w:rsid w:val="005B087E"/>
    <w:rsid w:val="005B1997"/>
    <w:rsid w:val="005B7F17"/>
    <w:rsid w:val="005F3E4A"/>
    <w:rsid w:val="005F3FC2"/>
    <w:rsid w:val="00617588"/>
    <w:rsid w:val="0062500C"/>
    <w:rsid w:val="00632415"/>
    <w:rsid w:val="006374AA"/>
    <w:rsid w:val="00637DD7"/>
    <w:rsid w:val="0066756C"/>
    <w:rsid w:val="0068024D"/>
    <w:rsid w:val="00680C0E"/>
    <w:rsid w:val="006849F7"/>
    <w:rsid w:val="006A2593"/>
    <w:rsid w:val="006E38FD"/>
    <w:rsid w:val="006F256A"/>
    <w:rsid w:val="006F5389"/>
    <w:rsid w:val="00726232"/>
    <w:rsid w:val="007303E0"/>
    <w:rsid w:val="007822AF"/>
    <w:rsid w:val="00782E9F"/>
    <w:rsid w:val="0079272D"/>
    <w:rsid w:val="007A1045"/>
    <w:rsid w:val="007A3F65"/>
    <w:rsid w:val="008003A8"/>
    <w:rsid w:val="008013F1"/>
    <w:rsid w:val="008168E0"/>
    <w:rsid w:val="00816DBE"/>
    <w:rsid w:val="00817781"/>
    <w:rsid w:val="008217E5"/>
    <w:rsid w:val="00840D15"/>
    <w:rsid w:val="00856C63"/>
    <w:rsid w:val="00863AFC"/>
    <w:rsid w:val="00867043"/>
    <w:rsid w:val="0089074B"/>
    <w:rsid w:val="008943C9"/>
    <w:rsid w:val="008B412F"/>
    <w:rsid w:val="008C7E6A"/>
    <w:rsid w:val="008D4AE3"/>
    <w:rsid w:val="008D4D80"/>
    <w:rsid w:val="008F6DA7"/>
    <w:rsid w:val="009018E5"/>
    <w:rsid w:val="00905832"/>
    <w:rsid w:val="00906A3F"/>
    <w:rsid w:val="009127C9"/>
    <w:rsid w:val="00931924"/>
    <w:rsid w:val="00940E57"/>
    <w:rsid w:val="009661DC"/>
    <w:rsid w:val="00987A32"/>
    <w:rsid w:val="009A334A"/>
    <w:rsid w:val="009B0B1C"/>
    <w:rsid w:val="009B5579"/>
    <w:rsid w:val="009C3C04"/>
    <w:rsid w:val="009D25A3"/>
    <w:rsid w:val="00A254AD"/>
    <w:rsid w:val="00A51287"/>
    <w:rsid w:val="00A65DAD"/>
    <w:rsid w:val="00A800C9"/>
    <w:rsid w:val="00A81FFB"/>
    <w:rsid w:val="00A923A2"/>
    <w:rsid w:val="00AA1702"/>
    <w:rsid w:val="00AA413E"/>
    <w:rsid w:val="00AC1EF7"/>
    <w:rsid w:val="00AD2D74"/>
    <w:rsid w:val="00AD6B24"/>
    <w:rsid w:val="00AE4032"/>
    <w:rsid w:val="00B049A2"/>
    <w:rsid w:val="00B11B74"/>
    <w:rsid w:val="00B178BF"/>
    <w:rsid w:val="00B30FA1"/>
    <w:rsid w:val="00B61AE4"/>
    <w:rsid w:val="00B80B02"/>
    <w:rsid w:val="00BB61B1"/>
    <w:rsid w:val="00BC74C6"/>
    <w:rsid w:val="00BD6F0E"/>
    <w:rsid w:val="00BF0CD4"/>
    <w:rsid w:val="00BF75E8"/>
    <w:rsid w:val="00BF7B75"/>
    <w:rsid w:val="00C02A37"/>
    <w:rsid w:val="00C11F38"/>
    <w:rsid w:val="00C76BDF"/>
    <w:rsid w:val="00CA7EFF"/>
    <w:rsid w:val="00CC5BAB"/>
    <w:rsid w:val="00CE42F4"/>
    <w:rsid w:val="00D25665"/>
    <w:rsid w:val="00D3170E"/>
    <w:rsid w:val="00D43533"/>
    <w:rsid w:val="00D758EC"/>
    <w:rsid w:val="00D97B2D"/>
    <w:rsid w:val="00DA28FF"/>
    <w:rsid w:val="00DA7003"/>
    <w:rsid w:val="00DB4485"/>
    <w:rsid w:val="00DF344E"/>
    <w:rsid w:val="00E36A0F"/>
    <w:rsid w:val="00E50B8E"/>
    <w:rsid w:val="00E5327E"/>
    <w:rsid w:val="00E7513C"/>
    <w:rsid w:val="00EB12C2"/>
    <w:rsid w:val="00EE5188"/>
    <w:rsid w:val="00EF158F"/>
    <w:rsid w:val="00F202AE"/>
    <w:rsid w:val="00F24E69"/>
    <w:rsid w:val="00F27CD1"/>
    <w:rsid w:val="00F40FC2"/>
    <w:rsid w:val="00F80E49"/>
    <w:rsid w:val="00FA5868"/>
    <w:rsid w:val="00FB139A"/>
    <w:rsid w:val="00FC3B21"/>
    <w:rsid w:val="00FF6948"/>
    <w:rsid w:val="17129F5F"/>
    <w:rsid w:val="3B89B2BE"/>
    <w:rsid w:val="5B54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29F5F"/>
  <w15:chartTrackingRefBased/>
  <w15:docId w15:val="{C876E7A0-CF65-49EC-84DF-0C8BB873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38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003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Revision">
    <w:name w:val="Revision"/>
    <w:hidden/>
    <w:uiPriority w:val="99"/>
    <w:semiHidden/>
    <w:rsid w:val="00AA41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7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BF9CE-0B0D-4614-B993-A2C92C534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30651-1274-422C-A3EF-5BC1E4012A08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3.xml><?xml version="1.0" encoding="utf-8"?>
<ds:datastoreItem xmlns:ds="http://schemas.openxmlformats.org/officeDocument/2006/customXml" ds:itemID="{191572E7-81FE-459F-AD46-C3436BBA3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650</Words>
  <Characters>3584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Teresa Ambord</cp:lastModifiedBy>
  <cp:revision>13</cp:revision>
  <dcterms:created xsi:type="dcterms:W3CDTF">2025-09-16T18:44:00Z</dcterms:created>
  <dcterms:modified xsi:type="dcterms:W3CDTF">2025-09-23T21:41:00Z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12d67790-a5dd-4466-997c-8630d3677583</vt:lpwstr>
  </property>
</Properties>
</file>